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8"/>
      </w:pPr>
      <w:r/>
      <w:r/>
    </w:p>
    <w:tbl>
      <w:tblPr>
        <w:tblpPr w:horzAnchor="margin" w:tblpXSpec="right" w:vertAnchor="text" w:tblpY="30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4"/>
        <w:gridCol w:w="503"/>
        <w:gridCol w:w="334"/>
        <w:gridCol w:w="1751"/>
        <w:gridCol w:w="409"/>
        <w:gridCol w:w="236"/>
        <w:gridCol w:w="1006"/>
        <w:gridCol w:w="347"/>
      </w:tblGrid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b/>
                <w:sz w:val="24"/>
                <w:szCs w:val="24"/>
              </w:rPr>
              <w:t xml:space="preserve">“УТВЕРЖДАЮ”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sz w:val="24"/>
                <w:szCs w:val="24"/>
              </w:rPr>
              <w:t xml:space="preserve">Первый заместитель директора -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sz w:val="24"/>
                <w:szCs w:val="24"/>
              </w:rPr>
              <w:t xml:space="preserve">главный инженер филиала ПАО «Россети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7" w:type="dxa"/>
            <w:vAlign w:val="center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sz w:val="24"/>
                <w:szCs w:val="24"/>
              </w:rPr>
              <w:t xml:space="preserve">Центр и Приволжье» - «Рязаньэнерго»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  <w:tr>
        <w:tblPrEx/>
        <w:trPr>
          <w:trHeight w:val="421"/>
        </w:trPr>
        <w:tc>
          <w:tcPr>
            <w:gridSpan w:val="4"/>
            <w:tcBorders>
              <w:bottom w:val="single" w:color="000000" w:sz="4" w:space="0"/>
            </w:tcBorders>
            <w:tcW w:w="2922" w:type="dxa"/>
            <w:vAlign w:val="center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gridSpan w:val="4"/>
            <w:tcW w:w="1935" w:type="dxa"/>
            <w:vAlign w:val="bottom"/>
            <w:textDirection w:val="lrTb"/>
            <w:noWrap w:val="false"/>
          </w:tcPr>
          <w:p>
            <w:pPr>
              <w:pStyle w:val="900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  <w:sz w:val="24"/>
              </w:rPr>
              <w:t xml:space="preserve">Корнилов А.А.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530"/>
        </w:trPr>
        <w:tc>
          <w:tcPr>
            <w:tcW w:w="334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  <w:t xml:space="preserve">«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503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center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W w:w="334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  <w:t xml:space="preserve">»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160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center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W w:w="236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06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center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rPr>
                <w:caps/>
                <w:sz w:val="24"/>
                <w:szCs w:val="24"/>
              </w:rPr>
              <w:t xml:space="preserve">2026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898"/>
              <w:ind w:right="-2" w:firstLine="0"/>
              <w:jc w:val="left"/>
              <w:spacing w:line="276" w:lineRule="auto"/>
              <w:rPr>
                <w:caps/>
                <w:sz w:val="24"/>
                <w:szCs w:val="24"/>
              </w:rPr>
              <w:framePr w:hSpace="180" w:wrap="around" w:vAnchor="text" w:hAnchor="margin" w:xAlign="right" w:y="30"/>
            </w:pPr>
            <w:r>
              <w:t xml:space="preserve">г.</w:t>
            </w:r>
            <w:r>
              <w:rPr>
                <w:caps/>
                <w:sz w:val="24"/>
                <w:szCs w:val="24"/>
              </w:rPr>
            </w:r>
            <w:r>
              <w:rPr>
                <w:caps/>
                <w:sz w:val="24"/>
                <w:szCs w:val="24"/>
              </w:rPr>
            </w:r>
          </w:p>
        </w:tc>
      </w:tr>
    </w:tbl>
    <w:p>
      <w:pPr>
        <w:pStyle w:val="900"/>
        <w:numPr>
          <w:ilvl w:val="0"/>
          <w:numId w:val="0"/>
        </w:numPr>
        <w:spacing w:after="120"/>
      </w:pPr>
      <w:r/>
      <w:r/>
    </w:p>
    <w:p>
      <w:pPr>
        <w:pStyle w:val="900"/>
        <w:numPr>
          <w:ilvl w:val="0"/>
          <w:numId w:val="0"/>
        </w:numPr>
        <w:spacing w:after="120"/>
      </w:pPr>
      <w:r/>
      <w:r/>
    </w:p>
    <w:p>
      <w:pPr>
        <w:pStyle w:val="900"/>
        <w:numPr>
          <w:ilvl w:val="0"/>
          <w:numId w:val="0"/>
        </w:numPr>
        <w:spacing w:after="120"/>
      </w:pPr>
      <w:r/>
      <w:r/>
    </w:p>
    <w:p>
      <w:pPr>
        <w:pStyle w:val="900"/>
        <w:numPr>
          <w:ilvl w:val="0"/>
          <w:numId w:val="0"/>
        </w:numPr>
        <w:spacing w:after="120"/>
      </w:pPr>
      <w:r/>
      <w:r/>
    </w:p>
    <w:p>
      <w:pPr>
        <w:pStyle w:val="900"/>
        <w:numPr>
          <w:ilvl w:val="0"/>
          <w:numId w:val="0"/>
        </w:numPr>
        <w:spacing w:after="120"/>
      </w:pPr>
      <w:r/>
      <w:r/>
    </w:p>
    <w:p>
      <w:pPr>
        <w:pStyle w:val="900"/>
        <w:numPr>
          <w:ilvl w:val="0"/>
          <w:numId w:val="0"/>
        </w:numPr>
        <w:spacing w:after="120"/>
      </w:pPr>
      <w:r/>
      <w:r/>
    </w:p>
    <w:p>
      <w:pPr>
        <w:pStyle w:val="900"/>
        <w:numPr>
          <w:ilvl w:val="0"/>
          <w:numId w:val="0"/>
        </w:numPr>
        <w:spacing w:after="120"/>
      </w:pPr>
      <w:r>
        <w:t xml:space="preserve">ТЕХНИЧЕСКОЕ ЗАДАНИЕ</w:t>
      </w:r>
      <w:r/>
    </w:p>
    <w:p>
      <w:pPr>
        <w:pStyle w:val="898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поставку </w:t>
      </w:r>
      <w:r>
        <w:rPr>
          <w:b/>
          <w:sz w:val="26"/>
          <w:szCs w:val="26"/>
        </w:rPr>
        <w:t xml:space="preserve">инструментов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98"/>
        <w:ind w:firstLine="0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Лот</w:t>
      </w:r>
      <w:r>
        <w:rPr>
          <w:b/>
          <w:sz w:val="26"/>
          <w:szCs w:val="26"/>
        </w:rPr>
        <w:t xml:space="preserve"> № </w:t>
      </w:r>
      <w:r>
        <w:rPr>
          <w:b/>
          <w:sz w:val="26"/>
          <w:szCs w:val="26"/>
        </w:rPr>
        <w:t xml:space="preserve">311</w:t>
      </w:r>
      <w:r>
        <w:rPr>
          <w:b/>
          <w:sz w:val="26"/>
          <w:szCs w:val="26"/>
          <w:lang w:val="en-US"/>
        </w:rPr>
        <w:t xml:space="preserve">C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ind w:firstLine="0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24"/>
        <w:numPr>
          <w:ilvl w:val="0"/>
          <w:numId w:val="3"/>
        </w:numPr>
        <w:ind w:left="0" w:firstLine="851"/>
        <w:spacing w:line="276" w:lineRule="auto"/>
        <w:tabs>
          <w:tab w:val="left" w:pos="993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Технические требования к </w:t>
      </w:r>
      <w:r>
        <w:rPr>
          <w:b/>
          <w:bCs/>
          <w:sz w:val="23"/>
          <w:szCs w:val="23"/>
        </w:rPr>
        <w:t xml:space="preserve">продукции</w:t>
      </w:r>
      <w:r>
        <w:rPr>
          <w:b/>
          <w:bCs/>
          <w:sz w:val="23"/>
          <w:szCs w:val="23"/>
        </w:rPr>
        <w:t xml:space="preserve">.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898"/>
        <w:spacing w:line="276" w:lineRule="auto"/>
        <w:rPr>
          <w:bCs/>
          <w:color w:val="000000"/>
          <w:sz w:val="23"/>
          <w:szCs w:val="23"/>
        </w:rPr>
      </w:pPr>
      <w:r>
        <w:rPr>
          <w:sz w:val="23"/>
          <w:szCs w:val="23"/>
        </w:rPr>
        <w:t xml:space="preserve">1.1 </w:t>
      </w:r>
      <w:r>
        <w:rPr>
          <w:sz w:val="23"/>
          <w:szCs w:val="23"/>
        </w:rPr>
        <w:t xml:space="preserve">Технические требов</w:t>
      </w:r>
      <w:r>
        <w:rPr>
          <w:sz w:val="23"/>
          <w:szCs w:val="23"/>
        </w:rPr>
        <w:t xml:space="preserve">ания и характеристики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</w:t>
      </w:r>
      <w:r>
        <w:rPr>
          <w:sz w:val="23"/>
          <w:szCs w:val="23"/>
        </w:rPr>
        <w:t xml:space="preserve">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  <w:r>
        <w:rPr>
          <w:bCs/>
          <w:color w:val="000000"/>
          <w:sz w:val="23"/>
          <w:szCs w:val="23"/>
        </w:rPr>
      </w:r>
      <w:r>
        <w:rPr>
          <w:bCs/>
          <w:color w:val="000000"/>
          <w:sz w:val="23"/>
          <w:szCs w:val="23"/>
        </w:rPr>
      </w:r>
    </w:p>
    <w:p>
      <w:pPr>
        <w:pStyle w:val="924"/>
        <w:numPr>
          <w:ilvl w:val="0"/>
          <w:numId w:val="3"/>
        </w:numPr>
        <w:ind w:left="0" w:firstLine="709"/>
        <w:spacing w:line="276" w:lineRule="auto"/>
        <w:tabs>
          <w:tab w:val="left" w:pos="1134" w:leader="none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Общие требования. 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pStyle w:val="924"/>
        <w:numPr>
          <w:ilvl w:val="1"/>
          <w:numId w:val="24"/>
        </w:numPr>
        <w:ind w:left="0" w:firstLine="709"/>
        <w:spacing w:line="276" w:lineRule="auto"/>
        <w:tabs>
          <w:tab w:val="left" w:pos="0" w:leader="none"/>
          <w:tab w:val="left" w:pos="709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К поставке допускаются </w:t>
      </w:r>
      <w:r>
        <w:rPr>
          <w:sz w:val="23"/>
          <w:szCs w:val="23"/>
        </w:rPr>
        <w:t xml:space="preserve">инструменты</w:t>
      </w:r>
      <w:r>
        <w:rPr>
          <w:sz w:val="23"/>
          <w:szCs w:val="23"/>
        </w:rPr>
        <w:t xml:space="preserve">, отвечающие следующим требованиям: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numPr>
          <w:ilvl w:val="0"/>
          <w:numId w:val="25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продукция должна быть новой, ранее не использованной;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numPr>
          <w:ilvl w:val="0"/>
          <w:numId w:val="25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numPr>
          <w:ilvl w:val="0"/>
          <w:numId w:val="4"/>
        </w:numPr>
        <w:ind w:left="0" w:firstLine="709"/>
        <w:spacing w:line="276" w:lineRule="auto"/>
        <w:tabs>
          <w:tab w:val="left" w:pos="0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для российских производителей – наличие ТУ, подтверждающих соответствие техническим требованиям;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numPr>
          <w:ilvl w:val="0"/>
          <w:numId w:val="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продукция должна соответствовать требованиям технической политики ПАО «Россети».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numPr>
          <w:ilvl w:val="1"/>
          <w:numId w:val="3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bCs/>
          <w:sz w:val="23"/>
          <w:szCs w:val="23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</w:t>
      </w:r>
      <w:r>
        <w:rPr>
          <w:bCs/>
          <w:sz w:val="23"/>
          <w:szCs w:val="23"/>
        </w:rPr>
        <w:t xml:space="preserve">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2.3. </w:t>
      </w:r>
      <w:r>
        <w:rPr>
          <w:color w:val="000000"/>
          <w:sz w:val="23"/>
          <w:szCs w:val="23"/>
        </w:rPr>
        <w:t xml:space="preserve">Инструменты </w:t>
      </w:r>
      <w:r>
        <w:rPr>
          <w:color w:val="000000"/>
          <w:sz w:val="23"/>
          <w:szCs w:val="23"/>
        </w:rPr>
        <w:t xml:space="preserve">должны соответ</w:t>
      </w:r>
      <w:r>
        <w:rPr>
          <w:color w:val="000000"/>
          <w:sz w:val="23"/>
          <w:szCs w:val="23"/>
        </w:rPr>
        <w:t xml:space="preserve">ствовать требованиям </w:t>
      </w:r>
      <w:r>
        <w:rPr>
          <w:color w:val="000000"/>
          <w:sz w:val="23"/>
          <w:szCs w:val="23"/>
        </w:rPr>
        <w:t xml:space="preserve">ГОСТ 2839-80</w:t>
      </w:r>
      <w:r>
        <w:rPr>
          <w:color w:val="000000"/>
          <w:sz w:val="23"/>
          <w:szCs w:val="23"/>
        </w:rPr>
        <w:t xml:space="preserve"> «</w:t>
      </w:r>
      <w:r>
        <w:rPr>
          <w:color w:val="000000"/>
          <w:sz w:val="23"/>
          <w:szCs w:val="23"/>
        </w:rPr>
        <w:t xml:space="preserve">Ключи гаечные с открытым зевом двусторонние. Конструкция и размеры</w:t>
      </w:r>
      <w:r>
        <w:rPr>
          <w:color w:val="000000"/>
          <w:sz w:val="23"/>
          <w:szCs w:val="23"/>
        </w:rPr>
        <w:t xml:space="preserve">.» для ключей, </w:t>
      </w:r>
      <w:r>
        <w:rPr>
          <w:color w:val="000000"/>
          <w:sz w:val="23"/>
          <w:szCs w:val="23"/>
        </w:rPr>
        <w:t xml:space="preserve">ГОСТ IEC 60745-2-2-2011 «Машины ручные электрические. Безопасность и методы испытаний. Часть 2-2. Частные требования к шуру</w:t>
      </w:r>
      <w:r>
        <w:rPr>
          <w:color w:val="000000"/>
          <w:sz w:val="23"/>
          <w:szCs w:val="23"/>
        </w:rPr>
        <w:t xml:space="preserve">повертам и ударным гайковертам» для поставляемой продукции гайковертов, </w:t>
      </w:r>
      <w:r>
        <w:rPr>
          <w:color w:val="000000"/>
          <w:sz w:val="23"/>
          <w:szCs w:val="23"/>
        </w:rPr>
        <w:t xml:space="preserve">ГОСТ 17199-88 «Отвертки слесарно-</w:t>
      </w:r>
      <w:r>
        <w:rPr>
          <w:color w:val="000000"/>
          <w:sz w:val="23"/>
          <w:szCs w:val="23"/>
        </w:rPr>
        <w:t xml:space="preserve">монтажные. Технические условия».</w:t>
      </w:r>
      <w:r>
        <w:rPr>
          <w:color w:val="000000"/>
          <w:sz w:val="23"/>
          <w:szCs w:val="23"/>
        </w:rPr>
      </w:r>
      <w:r>
        <w:rPr>
          <w:color w:val="000000"/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2.4. Упаковка, транспортирование, условия и сроки хранения.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Упаковка, маркировка, транспортирование, условия и сроки хранения </w:t>
      </w:r>
      <w:r>
        <w:rPr>
          <w:sz w:val="23"/>
          <w:szCs w:val="23"/>
        </w:rPr>
        <w:t xml:space="preserve">стройматериалов</w:t>
      </w:r>
      <w:r>
        <w:rPr>
          <w:sz w:val="23"/>
          <w:szCs w:val="23"/>
        </w:rPr>
        <w:t xml:space="preserve"> должны соответствовать требованиям, указанным в технических услов</w:t>
      </w:r>
      <w:r>
        <w:rPr>
          <w:sz w:val="23"/>
          <w:szCs w:val="23"/>
        </w:rPr>
        <w:t xml:space="preserve">иях изготовителя продукции, </w:t>
      </w:r>
      <w:r>
        <w:rPr>
          <w:sz w:val="23"/>
          <w:szCs w:val="23"/>
        </w:rPr>
        <w:t xml:space="preserve">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Способ укладки и транспортировки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Упаковка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 w:val="23"/>
          <w:szCs w:val="23"/>
        </w:rPr>
        <w:t xml:space="preserve">стройматериалов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Инструменты</w:t>
      </w:r>
      <w:r>
        <w:rPr>
          <w:sz w:val="23"/>
          <w:szCs w:val="23"/>
        </w:rPr>
        <w:t xml:space="preserve"> должны быть упакованы в ящики, изготовленные по нормативно-технической документации в соответствии с требованиями ГОСТ 2991</w:t>
      </w:r>
      <w:r>
        <w:rPr>
          <w:sz w:val="23"/>
          <w:szCs w:val="23"/>
        </w:rPr>
        <w:t xml:space="preserve">, ГОСТ 5959</w:t>
      </w:r>
      <w:r>
        <w:rPr>
          <w:sz w:val="23"/>
          <w:szCs w:val="23"/>
        </w:rPr>
        <w:t xml:space="preserve">. В один ящик с</w:t>
      </w:r>
      <w:r>
        <w:rPr>
          <w:sz w:val="23"/>
          <w:szCs w:val="23"/>
        </w:rPr>
        <w:t xml:space="preserve">о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Инструменты</w:t>
      </w:r>
      <w:r>
        <w:rPr>
          <w:sz w:val="23"/>
          <w:szCs w:val="23"/>
        </w:rPr>
        <w:t xml:space="preserve"> должен быть вложен упаковочный лист.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2.5</w:t>
      </w:r>
      <w:r>
        <w:rPr>
          <w:sz w:val="23"/>
          <w:szCs w:val="23"/>
        </w:rPr>
        <w:t xml:space="preserve">. Срок изготовления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должен быть не более полугода от момента поставки.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3. Гарантийные обязательства.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Гарантия на поставляемую продукцию должна распространяться не </w:t>
      </w:r>
      <w:r>
        <w:rPr>
          <w:sz w:val="23"/>
          <w:szCs w:val="23"/>
        </w:rPr>
        <w:t xml:space="preserve">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3"/>
          <w:szCs w:val="23"/>
        </w:rPr>
        <w:t xml:space="preserve">стройматериалов</w:t>
      </w:r>
      <w:r>
        <w:rPr>
          <w:sz w:val="23"/>
          <w:szCs w:val="23"/>
        </w:rPr>
        <w:t xml:space="preserve"> из строя, Поставщик обязан направить своего представителя для участия </w:t>
      </w:r>
      <w:r>
        <w:rPr>
          <w:sz w:val="23"/>
          <w:szCs w:val="23"/>
        </w:rPr>
        <w:t xml:space="preserve">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4. Требования к надежности и живучести продукции.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3"/>
          <w:szCs w:val="23"/>
        </w:rPr>
        <w:t xml:space="preserve">5</w:t>
      </w:r>
      <w:r>
        <w:rPr>
          <w:sz w:val="23"/>
          <w:szCs w:val="23"/>
        </w:rPr>
        <w:t xml:space="preserve"> лет.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5. Маркировка, состав технической и эксплуатационной документации.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комплект поставки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должны входить документы: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- паспорт по нормативной документации, утвержденной в установленном порядке;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- эксплуатационные документы, утвержденные в установленном порядке на русском языке;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1560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- сертификат соответствия и свидетельство о приемке на поставляемую продукцию, на русском языке.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1560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Маркировка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должна соответствовать требованиям </w:t>
      </w:r>
      <w:r>
        <w:rPr>
          <w:color w:val="000000"/>
          <w:sz w:val="23"/>
          <w:szCs w:val="23"/>
        </w:rPr>
        <w:t xml:space="preserve">ГОСТ 14192</w:t>
      </w:r>
      <w:r>
        <w:rPr>
          <w:sz w:val="23"/>
          <w:szCs w:val="23"/>
        </w:rPr>
        <w:t xml:space="preserve"> (для конкретного типа номенклатуры). Маркировка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3"/>
          <w:szCs w:val="23"/>
        </w:rPr>
        <w:t xml:space="preserve">инструменты</w:t>
      </w:r>
      <w:r>
        <w:rPr>
          <w:sz w:val="23"/>
          <w:szCs w:val="23"/>
        </w:rPr>
        <w:t xml:space="preserve"> конкретных типов.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1560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Маркировка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производится непосредственно на изделии или ярлыке.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1560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Для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1560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По всем видам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Постав</w:t>
      </w:r>
      <w:r>
        <w:rPr>
          <w:sz w:val="23"/>
          <w:szCs w:val="23"/>
        </w:rPr>
        <w:t xml:space="preserve">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98"/>
        <w:ind w:firstLine="709"/>
        <w:spacing w:line="276" w:lineRule="auto"/>
        <w:tabs>
          <w:tab w:val="left" w:pos="1134" w:leader="none"/>
        </w:tabs>
        <w:rPr>
          <w:b/>
          <w:sz w:val="23"/>
          <w:szCs w:val="23"/>
        </w:rPr>
      </w:pPr>
      <w:r>
        <w:rPr>
          <w:b/>
          <w:bCs/>
          <w:sz w:val="23"/>
          <w:szCs w:val="23"/>
        </w:rPr>
        <w:t xml:space="preserve">6. Правила приемки продукции.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pStyle w:val="925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Каждая партия </w:t>
      </w:r>
      <w:r>
        <w:rPr>
          <w:sz w:val="23"/>
          <w:szCs w:val="23"/>
        </w:rPr>
        <w:t xml:space="preserve">инструментов</w:t>
      </w:r>
      <w:r>
        <w:rPr>
          <w:sz w:val="23"/>
          <w:szCs w:val="23"/>
        </w:rPr>
        <w:t xml:space="preserve"> должна пройти входной контроль, осуществляемый представителями филиалов ПАО «</w:t>
      </w:r>
      <w:r>
        <w:rPr>
          <w:sz w:val="23"/>
          <w:szCs w:val="23"/>
        </w:rPr>
        <w:t xml:space="preserve">Россети Центр</w:t>
      </w:r>
      <w:r>
        <w:rPr>
          <w:sz w:val="23"/>
          <w:szCs w:val="23"/>
        </w:rPr>
        <w:t xml:space="preserve">» </w:t>
      </w:r>
      <w:r>
        <w:rPr>
          <w:sz w:val="23"/>
          <w:szCs w:val="23"/>
        </w:rPr>
        <w:t xml:space="preserve">/ ПАО «Россети Центр и Приволжье</w:t>
      </w:r>
      <w:r>
        <w:rPr>
          <w:sz w:val="23"/>
          <w:szCs w:val="23"/>
        </w:rPr>
        <w:t xml:space="preserve"> и ответственными представителями Поставщика при получении их на склад.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В случае выявления дефектов, в том числе и скрытых, Поставщик обязан за свой счет заменить поставленную продукцию.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4"/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3616"/>
        <w:gridCol w:w="2517"/>
      </w:tblGrid>
      <w:tr>
        <w:tblPrEx/>
        <w:trPr>
          <w:trHeight w:val="31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98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главного инженера                        по эксплуатации                                                  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16" w:type="dxa"/>
            <w:vAlign w:val="top"/>
            <w:textDirection w:val="lrTb"/>
            <w:noWrap w:val="false"/>
          </w:tcPr>
          <w:p>
            <w:pPr>
              <w:pStyle w:val="898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17" w:type="dxa"/>
            <w:vAlign w:val="top"/>
            <w:textDirection w:val="lrTb"/>
            <w:noWrap w:val="false"/>
          </w:tcPr>
          <w:p>
            <w:pPr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98"/>
              <w:ind w:firstLine="0"/>
              <w:jc w:val="lef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А.Б. Малявин</w:t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r/>
      <w:r/>
    </w:p>
    <w:sectPr>
      <w:headerReference w:type="even" r:id="rId9"/>
      <w:footnotePr/>
      <w:endnotePr/>
      <w:type w:val="nextPage"/>
      <w:pgSz w:w="12240" w:h="15840" w:orient="portrait"/>
      <w:pgMar w:top="709" w:right="567" w:bottom="426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separate"/>
    </w:r>
    <w:r>
      <w:rPr>
        <w:rStyle w:val="913"/>
      </w:rPr>
      <w:t xml:space="preserve">1</w: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070" w:hanging="360"/>
        <w:tabs>
          <w:tab w:val="num" w:pos="107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21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7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533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97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08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position w:val="0"/>
        <w:sz w:val="20"/>
        <w:szCs w:val="20"/>
        <w:u w:val="none"/>
      </w:rPr>
    </w:lvl>
    <w:lvl w:ilvl="1">
      <w:start w:val="8"/>
      <w:numFmt w:val="decimal"/>
      <w:isLgl w:val="false"/>
      <w:suff w:val="tab"/>
      <w:lvlText w:val="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3">
      <w:start w:val="4"/>
      <w:numFmt w:val="decimal"/>
      <w:isLgl w:val="false"/>
      <w:suff w:val="tab"/>
      <w:lvlText w:val="%4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4">
      <w:start w:val="1"/>
      <w:numFmt w:val="decimal"/>
      <w:isLgl w:val="false"/>
      <w:suff w:val="tab"/>
      <w:lvlText w:val="%4.%5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position w:val="0"/>
        <w:sz w:val="20"/>
        <w:szCs w:val="20"/>
        <w:u w:val="none"/>
      </w:rPr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pStyle w:val="926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8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899"/>
      <w:isLgl w:val="false"/>
      <w:suff w:val="tab"/>
      <w:lvlText w:val="%1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pStyle w:val="900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901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902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903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904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905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906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907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"/>
      <w:lvlJc w:val="left"/>
      <w:pPr>
        <w:ind w:left="1099" w:hanging="39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5"/>
      <w:numFmt w:val="decimal"/>
      <w:isLgl w:val="false"/>
      <w:suff w:val="tab"/>
      <w:lvlText w:val="%1.%2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352" w:hanging="1800"/>
      </w:p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352" w:hanging="180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92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642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85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923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352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14"/>
  </w:num>
  <w:num w:numId="13">
    <w:abstractNumId w:val="15"/>
  </w:num>
  <w:num w:numId="14">
    <w:abstractNumId w:val="19"/>
  </w:num>
  <w:num w:numId="15">
    <w:abstractNumId w:val="20"/>
  </w:num>
  <w:num w:numId="16">
    <w:abstractNumId w:val="12"/>
  </w:num>
  <w:num w:numId="17">
    <w:abstractNumId w:val="5"/>
  </w:num>
  <w:num w:numId="18">
    <w:abstractNumId w:val="16"/>
  </w:num>
  <w:num w:numId="19">
    <w:abstractNumId w:val="17"/>
  </w:num>
  <w:num w:numId="20">
    <w:abstractNumId w:val="6"/>
  </w:num>
  <w:num w:numId="21">
    <w:abstractNumId w:val="18"/>
  </w:num>
  <w:num w:numId="22">
    <w:abstractNumId w:val="1"/>
  </w:num>
  <w:num w:numId="23">
    <w:abstractNumId w:val="13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0">
    <w:name w:val="Heading 1"/>
    <w:basedOn w:val="898"/>
    <w:next w:val="898"/>
    <w:link w:val="72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1">
    <w:name w:val="Heading 1 Char"/>
    <w:link w:val="720"/>
    <w:uiPriority w:val="9"/>
    <w:rPr>
      <w:rFonts w:ascii="Arial" w:hAnsi="Arial" w:eastAsia="Arial" w:cs="Arial"/>
      <w:sz w:val="40"/>
      <w:szCs w:val="40"/>
    </w:rPr>
  </w:style>
  <w:style w:type="paragraph" w:styleId="722">
    <w:name w:val="Heading 2"/>
    <w:basedOn w:val="898"/>
    <w:next w:val="898"/>
    <w:link w:val="7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3">
    <w:name w:val="Heading 2 Char"/>
    <w:link w:val="722"/>
    <w:uiPriority w:val="9"/>
    <w:rPr>
      <w:rFonts w:ascii="Arial" w:hAnsi="Arial" w:eastAsia="Arial" w:cs="Arial"/>
      <w:sz w:val="34"/>
    </w:rPr>
  </w:style>
  <w:style w:type="paragraph" w:styleId="724">
    <w:name w:val="Heading 3"/>
    <w:basedOn w:val="898"/>
    <w:next w:val="898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5">
    <w:name w:val="Heading 3 Char"/>
    <w:link w:val="724"/>
    <w:uiPriority w:val="9"/>
    <w:rPr>
      <w:rFonts w:ascii="Arial" w:hAnsi="Arial" w:eastAsia="Arial" w:cs="Arial"/>
      <w:sz w:val="30"/>
      <w:szCs w:val="30"/>
    </w:rPr>
  </w:style>
  <w:style w:type="paragraph" w:styleId="726">
    <w:name w:val="Heading 4"/>
    <w:basedOn w:val="898"/>
    <w:next w:val="898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7">
    <w:name w:val="Heading 4 Char"/>
    <w:link w:val="726"/>
    <w:uiPriority w:val="9"/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898"/>
    <w:next w:val="898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9">
    <w:name w:val="Heading 5 Char"/>
    <w:link w:val="728"/>
    <w:uiPriority w:val="9"/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898"/>
    <w:next w:val="898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1">
    <w:name w:val="Heading 6 Char"/>
    <w:link w:val="730"/>
    <w:uiPriority w:val="9"/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898"/>
    <w:next w:val="898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7 Char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4">
    <w:name w:val="Heading 8"/>
    <w:basedOn w:val="898"/>
    <w:next w:val="898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5">
    <w:name w:val="Heading 8 Char"/>
    <w:link w:val="734"/>
    <w:uiPriority w:val="9"/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898"/>
    <w:next w:val="898"/>
    <w:link w:val="7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9 Char"/>
    <w:link w:val="736"/>
    <w:uiPriority w:val="9"/>
    <w:rPr>
      <w:rFonts w:ascii="Arial" w:hAnsi="Arial" w:eastAsia="Arial" w:cs="Arial"/>
      <w:i/>
      <w:iCs/>
      <w:sz w:val="21"/>
      <w:szCs w:val="21"/>
    </w:rPr>
  </w:style>
  <w:style w:type="paragraph" w:styleId="738">
    <w:name w:val="List Paragraph"/>
    <w:basedOn w:val="898"/>
    <w:uiPriority w:val="34"/>
    <w:qFormat/>
    <w:pPr>
      <w:contextualSpacing/>
      <w:ind w:left="720"/>
    </w:pPr>
  </w:style>
  <w:style w:type="paragraph" w:styleId="739">
    <w:name w:val="No Spacing"/>
    <w:uiPriority w:val="1"/>
    <w:qFormat/>
    <w:pPr>
      <w:spacing w:before="0" w:after="0" w:line="240" w:lineRule="auto"/>
    </w:pPr>
  </w:style>
  <w:style w:type="paragraph" w:styleId="740">
    <w:name w:val="Title"/>
    <w:basedOn w:val="898"/>
    <w:next w:val="898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1">
    <w:name w:val="Title Char"/>
    <w:link w:val="740"/>
    <w:uiPriority w:val="10"/>
    <w:rPr>
      <w:sz w:val="48"/>
      <w:szCs w:val="48"/>
    </w:rPr>
  </w:style>
  <w:style w:type="paragraph" w:styleId="742">
    <w:name w:val="Subtitle"/>
    <w:basedOn w:val="898"/>
    <w:next w:val="898"/>
    <w:link w:val="743"/>
    <w:uiPriority w:val="11"/>
    <w:qFormat/>
    <w:pPr>
      <w:spacing w:before="200" w:after="200"/>
    </w:pPr>
    <w:rPr>
      <w:sz w:val="24"/>
      <w:szCs w:val="24"/>
    </w:rPr>
  </w:style>
  <w:style w:type="character" w:styleId="743">
    <w:name w:val="Subtitle Char"/>
    <w:link w:val="742"/>
    <w:uiPriority w:val="11"/>
    <w:rPr>
      <w:sz w:val="24"/>
      <w:szCs w:val="24"/>
    </w:rPr>
  </w:style>
  <w:style w:type="paragraph" w:styleId="744">
    <w:name w:val="Quote"/>
    <w:basedOn w:val="898"/>
    <w:next w:val="898"/>
    <w:link w:val="745"/>
    <w:uiPriority w:val="29"/>
    <w:qFormat/>
    <w:pPr>
      <w:ind w:left="720" w:right="720"/>
    </w:pPr>
    <w:rPr>
      <w:i/>
    </w:rPr>
  </w:style>
  <w:style w:type="character" w:styleId="745">
    <w:name w:val="Quote Char"/>
    <w:link w:val="744"/>
    <w:uiPriority w:val="29"/>
    <w:rPr>
      <w:i/>
    </w:rPr>
  </w:style>
  <w:style w:type="paragraph" w:styleId="746">
    <w:name w:val="Intense Quote"/>
    <w:basedOn w:val="898"/>
    <w:next w:val="898"/>
    <w:link w:val="7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>
    <w:name w:val="Intense Quote Char"/>
    <w:link w:val="746"/>
    <w:uiPriority w:val="30"/>
    <w:rPr>
      <w:i/>
    </w:rPr>
  </w:style>
  <w:style w:type="paragraph" w:styleId="748">
    <w:name w:val="Header"/>
    <w:basedOn w:val="898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Header Char"/>
    <w:link w:val="748"/>
    <w:uiPriority w:val="99"/>
  </w:style>
  <w:style w:type="paragraph" w:styleId="750">
    <w:name w:val="Footer"/>
    <w:basedOn w:val="898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Footer Char"/>
    <w:link w:val="750"/>
    <w:uiPriority w:val="99"/>
  </w:style>
  <w:style w:type="paragraph" w:styleId="752">
    <w:name w:val="Caption"/>
    <w:basedOn w:val="898"/>
    <w:next w:val="8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>
    <w:name w:val="Caption Char"/>
    <w:basedOn w:val="752"/>
    <w:link w:val="750"/>
    <w:uiPriority w:val="99"/>
  </w:style>
  <w:style w:type="table" w:styleId="7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0">
    <w:name w:val="Hyperlink"/>
    <w:uiPriority w:val="99"/>
    <w:unhideWhenUsed/>
    <w:rPr>
      <w:color w:val="0000ff" w:themeColor="hyperlink"/>
      <w:u w:val="single"/>
    </w:rPr>
  </w:style>
  <w:style w:type="paragraph" w:styleId="881">
    <w:name w:val="footnote text"/>
    <w:basedOn w:val="898"/>
    <w:link w:val="882"/>
    <w:uiPriority w:val="99"/>
    <w:semiHidden/>
    <w:unhideWhenUsed/>
    <w:pPr>
      <w:spacing w:after="40" w:line="240" w:lineRule="auto"/>
    </w:pPr>
    <w:rPr>
      <w:sz w:val="18"/>
    </w:rPr>
  </w:style>
  <w:style w:type="character" w:styleId="882">
    <w:name w:val="Footnote Text Char"/>
    <w:link w:val="881"/>
    <w:uiPriority w:val="99"/>
    <w:rPr>
      <w:sz w:val="18"/>
    </w:rPr>
  </w:style>
  <w:style w:type="character" w:styleId="883">
    <w:name w:val="footnote reference"/>
    <w:uiPriority w:val="99"/>
    <w:unhideWhenUsed/>
    <w:rPr>
      <w:vertAlign w:val="superscript"/>
    </w:rPr>
  </w:style>
  <w:style w:type="paragraph" w:styleId="884">
    <w:name w:val="endnote text"/>
    <w:basedOn w:val="898"/>
    <w:link w:val="885"/>
    <w:uiPriority w:val="99"/>
    <w:semiHidden/>
    <w:unhideWhenUsed/>
    <w:pPr>
      <w:spacing w:after="0" w:line="240" w:lineRule="auto"/>
    </w:pPr>
    <w:rPr>
      <w:sz w:val="20"/>
    </w:rPr>
  </w:style>
  <w:style w:type="character" w:styleId="885">
    <w:name w:val="Endnote Text Char"/>
    <w:link w:val="884"/>
    <w:uiPriority w:val="99"/>
    <w:rPr>
      <w:sz w:val="20"/>
    </w:rPr>
  </w:style>
  <w:style w:type="character" w:styleId="886">
    <w:name w:val="endnote reference"/>
    <w:uiPriority w:val="99"/>
    <w:semiHidden/>
    <w:unhideWhenUsed/>
    <w:rPr>
      <w:vertAlign w:val="superscript"/>
    </w:rPr>
  </w:style>
  <w:style w:type="paragraph" w:styleId="887">
    <w:name w:val="toc 1"/>
    <w:basedOn w:val="898"/>
    <w:next w:val="898"/>
    <w:uiPriority w:val="39"/>
    <w:unhideWhenUsed/>
    <w:pPr>
      <w:ind w:left="0" w:right="0" w:firstLine="0"/>
      <w:spacing w:after="57"/>
    </w:pPr>
  </w:style>
  <w:style w:type="paragraph" w:styleId="888">
    <w:name w:val="toc 2"/>
    <w:basedOn w:val="898"/>
    <w:next w:val="898"/>
    <w:uiPriority w:val="39"/>
    <w:unhideWhenUsed/>
    <w:pPr>
      <w:ind w:left="283" w:right="0" w:firstLine="0"/>
      <w:spacing w:after="57"/>
    </w:pPr>
  </w:style>
  <w:style w:type="paragraph" w:styleId="889">
    <w:name w:val="toc 3"/>
    <w:basedOn w:val="898"/>
    <w:next w:val="898"/>
    <w:uiPriority w:val="39"/>
    <w:unhideWhenUsed/>
    <w:pPr>
      <w:ind w:left="567" w:right="0" w:firstLine="0"/>
      <w:spacing w:after="57"/>
    </w:pPr>
  </w:style>
  <w:style w:type="paragraph" w:styleId="890">
    <w:name w:val="toc 4"/>
    <w:basedOn w:val="898"/>
    <w:next w:val="898"/>
    <w:uiPriority w:val="39"/>
    <w:unhideWhenUsed/>
    <w:pPr>
      <w:ind w:left="850" w:right="0" w:firstLine="0"/>
      <w:spacing w:after="57"/>
    </w:pPr>
  </w:style>
  <w:style w:type="paragraph" w:styleId="891">
    <w:name w:val="toc 5"/>
    <w:basedOn w:val="898"/>
    <w:next w:val="898"/>
    <w:uiPriority w:val="39"/>
    <w:unhideWhenUsed/>
    <w:pPr>
      <w:ind w:left="1134" w:right="0" w:firstLine="0"/>
      <w:spacing w:after="57"/>
    </w:pPr>
  </w:style>
  <w:style w:type="paragraph" w:styleId="892">
    <w:name w:val="toc 6"/>
    <w:basedOn w:val="898"/>
    <w:next w:val="898"/>
    <w:uiPriority w:val="39"/>
    <w:unhideWhenUsed/>
    <w:pPr>
      <w:ind w:left="1417" w:right="0" w:firstLine="0"/>
      <w:spacing w:after="57"/>
    </w:pPr>
  </w:style>
  <w:style w:type="paragraph" w:styleId="893">
    <w:name w:val="toc 7"/>
    <w:basedOn w:val="898"/>
    <w:next w:val="898"/>
    <w:uiPriority w:val="39"/>
    <w:unhideWhenUsed/>
    <w:pPr>
      <w:ind w:left="1701" w:right="0" w:firstLine="0"/>
      <w:spacing w:after="57"/>
    </w:pPr>
  </w:style>
  <w:style w:type="paragraph" w:styleId="894">
    <w:name w:val="toc 8"/>
    <w:basedOn w:val="898"/>
    <w:next w:val="898"/>
    <w:uiPriority w:val="39"/>
    <w:unhideWhenUsed/>
    <w:pPr>
      <w:ind w:left="1984" w:right="0" w:firstLine="0"/>
      <w:spacing w:after="57"/>
    </w:pPr>
  </w:style>
  <w:style w:type="paragraph" w:styleId="895">
    <w:name w:val="toc 9"/>
    <w:basedOn w:val="898"/>
    <w:next w:val="898"/>
    <w:uiPriority w:val="39"/>
    <w:unhideWhenUsed/>
    <w:pPr>
      <w:ind w:left="2268" w:right="0" w:firstLine="0"/>
      <w:spacing w:after="57"/>
    </w:pPr>
  </w:style>
  <w:style w:type="paragraph" w:styleId="896">
    <w:name w:val="TOC Heading"/>
    <w:uiPriority w:val="39"/>
    <w:unhideWhenUsed/>
  </w:style>
  <w:style w:type="paragraph" w:styleId="897">
    <w:name w:val="table of figures"/>
    <w:basedOn w:val="898"/>
    <w:next w:val="898"/>
    <w:uiPriority w:val="99"/>
    <w:unhideWhenUsed/>
    <w:pPr>
      <w:spacing w:after="0" w:afterAutospacing="0"/>
    </w:pPr>
  </w:style>
  <w:style w:type="paragraph" w:styleId="898" w:default="1">
    <w:name w:val="Normal"/>
    <w:next w:val="898"/>
    <w:link w:val="898"/>
    <w:qFormat/>
    <w:pPr>
      <w:ind w:firstLine="851"/>
      <w:jc w:val="both"/>
    </w:pPr>
    <w:rPr>
      <w:lang w:val="ru-RU" w:eastAsia="ru-RU" w:bidi="ar-SA"/>
    </w:rPr>
  </w:style>
  <w:style w:type="paragraph" w:styleId="899">
    <w:name w:val="Заголовок 1"/>
    <w:basedOn w:val="898"/>
    <w:next w:val="898"/>
    <w:link w:val="898"/>
    <w:qFormat/>
    <w:pPr>
      <w:numPr>
        <w:ilvl w:val="0"/>
        <w:numId w:val="1"/>
      </w:numPr>
      <w:jc w:val="right"/>
      <w:keepNext/>
      <w:outlineLvl w:val="0"/>
    </w:pPr>
    <w:rPr>
      <w:sz w:val="28"/>
    </w:rPr>
  </w:style>
  <w:style w:type="paragraph" w:styleId="900">
    <w:name w:val="Заголовок 2"/>
    <w:basedOn w:val="898"/>
    <w:next w:val="898"/>
    <w:link w:val="941"/>
    <w:qFormat/>
    <w:pPr>
      <w:numPr>
        <w:ilvl w:val="1"/>
        <w:numId w:val="1"/>
      </w:numPr>
      <w:jc w:val="center"/>
      <w:keepNext/>
      <w:outlineLvl w:val="1"/>
    </w:pPr>
    <w:rPr>
      <w:b/>
      <w:sz w:val="28"/>
    </w:rPr>
  </w:style>
  <w:style w:type="paragraph" w:styleId="901">
    <w:name w:val="Заголовок 3"/>
    <w:basedOn w:val="898"/>
    <w:next w:val="898"/>
    <w:link w:val="898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/>
      <w:sz w:val="24"/>
    </w:rPr>
  </w:style>
  <w:style w:type="paragraph" w:styleId="902">
    <w:name w:val="Заголовок 4"/>
    <w:basedOn w:val="898"/>
    <w:next w:val="898"/>
    <w:link w:val="898"/>
    <w:qFormat/>
    <w:pPr>
      <w:numPr>
        <w:ilvl w:val="3"/>
        <w:numId w:val="1"/>
      </w:num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903">
    <w:name w:val="Заголовок 5"/>
    <w:basedOn w:val="898"/>
    <w:next w:val="898"/>
    <w:link w:val="898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904">
    <w:name w:val="Заголовок 6"/>
    <w:basedOn w:val="898"/>
    <w:next w:val="898"/>
    <w:link w:val="898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905">
    <w:name w:val="Заголовок 7"/>
    <w:basedOn w:val="898"/>
    <w:next w:val="898"/>
    <w:link w:val="898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906">
    <w:name w:val="Заголовок 8"/>
    <w:basedOn w:val="898"/>
    <w:next w:val="898"/>
    <w:link w:val="898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07">
    <w:name w:val="Заголовок 9"/>
    <w:basedOn w:val="898"/>
    <w:next w:val="898"/>
    <w:link w:val="898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908">
    <w:name w:val="Основной шрифт абзаца"/>
    <w:next w:val="908"/>
    <w:link w:val="898"/>
    <w:uiPriority w:val="1"/>
    <w:unhideWhenUsed/>
  </w:style>
  <w:style w:type="table" w:styleId="909">
    <w:name w:val="Обычная таблица"/>
    <w:next w:val="909"/>
    <w:link w:val="898"/>
    <w:uiPriority w:val="99"/>
    <w:semiHidden/>
    <w:unhideWhenUsed/>
    <w:qFormat/>
    <w:tblPr/>
  </w:style>
  <w:style w:type="numbering" w:styleId="910">
    <w:name w:val="Нет списка"/>
    <w:next w:val="910"/>
    <w:link w:val="898"/>
    <w:uiPriority w:val="99"/>
    <w:semiHidden/>
    <w:unhideWhenUsed/>
  </w:style>
  <w:style w:type="paragraph" w:styleId="911">
    <w:name w:val="Основной текст с отступом"/>
    <w:basedOn w:val="898"/>
    <w:next w:val="911"/>
    <w:link w:val="923"/>
    <w:pPr>
      <w:ind w:left="720" w:hanging="720"/>
      <w:jc w:val="center"/>
    </w:pPr>
    <w:rPr>
      <w:sz w:val="28"/>
      <w:lang w:val="en-US" w:eastAsia="en-US"/>
    </w:rPr>
  </w:style>
  <w:style w:type="paragraph" w:styleId="912">
    <w:name w:val="Верхний колонтитул"/>
    <w:basedOn w:val="898"/>
    <w:next w:val="912"/>
    <w:link w:val="898"/>
    <w:pPr>
      <w:tabs>
        <w:tab w:val="center" w:pos="4153" w:leader="none"/>
        <w:tab w:val="right" w:pos="8306" w:leader="none"/>
      </w:tabs>
    </w:pPr>
  </w:style>
  <w:style w:type="character" w:styleId="913">
    <w:name w:val="Номер страницы"/>
    <w:basedOn w:val="908"/>
    <w:next w:val="913"/>
    <w:link w:val="898"/>
    <w:uiPriority w:val="99"/>
  </w:style>
  <w:style w:type="paragraph" w:styleId="914">
    <w:name w:val="Основной текст"/>
    <w:basedOn w:val="898"/>
    <w:next w:val="914"/>
    <w:link w:val="898"/>
    <w:rPr>
      <w:sz w:val="26"/>
    </w:rPr>
  </w:style>
  <w:style w:type="paragraph" w:styleId="915">
    <w:name w:val="Основной текст с отступом 2"/>
    <w:basedOn w:val="898"/>
    <w:next w:val="915"/>
    <w:link w:val="898"/>
    <w:pPr>
      <w:ind w:left="5040"/>
    </w:pPr>
    <w:rPr>
      <w:sz w:val="24"/>
    </w:rPr>
  </w:style>
  <w:style w:type="paragraph" w:styleId="916">
    <w:name w:val="Основной текст с отступом 3"/>
    <w:basedOn w:val="898"/>
    <w:next w:val="916"/>
    <w:link w:val="898"/>
    <w:pPr>
      <w:ind w:firstLine="709"/>
    </w:pPr>
    <w:rPr>
      <w:sz w:val="26"/>
    </w:rPr>
  </w:style>
  <w:style w:type="paragraph" w:styleId="917">
    <w:name w:val="Список определений"/>
    <w:basedOn w:val="898"/>
    <w:next w:val="898"/>
    <w:link w:val="898"/>
    <w:pPr>
      <w:ind w:left="360"/>
    </w:pPr>
    <w:rPr>
      <w:sz w:val="24"/>
    </w:rPr>
  </w:style>
  <w:style w:type="paragraph" w:styleId="918">
    <w:name w:val="Нижний колонтитул"/>
    <w:basedOn w:val="898"/>
    <w:next w:val="918"/>
    <w:link w:val="898"/>
    <w:pPr>
      <w:tabs>
        <w:tab w:val="center" w:pos="4677" w:leader="none"/>
        <w:tab w:val="right" w:pos="9355" w:leader="none"/>
      </w:tabs>
    </w:pPr>
  </w:style>
  <w:style w:type="table" w:styleId="919">
    <w:name w:val="Сетка таблицы"/>
    <w:basedOn w:val="909"/>
    <w:next w:val="919"/>
    <w:link w:val="898"/>
    <w:uiPriority w:val="59"/>
    <w:tblPr/>
  </w:style>
  <w:style w:type="paragraph" w:styleId="920">
    <w:name w:val="Знак Знак Знак Знак Знак Знак"/>
    <w:basedOn w:val="898"/>
    <w:next w:val="899"/>
    <w:link w:val="898"/>
    <w:pPr>
      <w:spacing w:after="160" w:line="240" w:lineRule="exact"/>
    </w:pPr>
    <w:rPr>
      <w:rFonts w:ascii="Verdana" w:hAnsi="Verdana"/>
      <w:lang w:val="en-US" w:eastAsia="en-US"/>
    </w:rPr>
  </w:style>
  <w:style w:type="paragraph" w:styleId="921">
    <w:name w:val="Основной текст 3"/>
    <w:basedOn w:val="898"/>
    <w:next w:val="921"/>
    <w:link w:val="922"/>
    <w:pPr>
      <w:spacing w:after="120"/>
    </w:pPr>
    <w:rPr>
      <w:sz w:val="16"/>
      <w:szCs w:val="16"/>
      <w:lang w:val="en-US" w:eastAsia="en-US"/>
    </w:rPr>
  </w:style>
  <w:style w:type="character" w:styleId="922">
    <w:name w:val="Основной текст 3 Знак"/>
    <w:next w:val="922"/>
    <w:link w:val="921"/>
    <w:rPr>
      <w:sz w:val="16"/>
      <w:szCs w:val="16"/>
    </w:rPr>
  </w:style>
  <w:style w:type="character" w:styleId="923">
    <w:name w:val="Основной текст с отступом Знак"/>
    <w:next w:val="923"/>
    <w:link w:val="911"/>
    <w:rPr>
      <w:sz w:val="28"/>
    </w:rPr>
  </w:style>
  <w:style w:type="paragraph" w:styleId="924">
    <w:name w:val="Абзац списка,Нумерованый список,List Paragraph1"/>
    <w:basedOn w:val="898"/>
    <w:next w:val="924"/>
    <w:link w:val="938"/>
    <w:uiPriority w:val="34"/>
    <w:qFormat/>
    <w:pPr>
      <w:contextualSpacing/>
      <w:ind w:left="720"/>
    </w:pPr>
  </w:style>
  <w:style w:type="paragraph" w:styleId="925">
    <w:name w:val="Body Text 21"/>
    <w:basedOn w:val="898"/>
    <w:next w:val="925"/>
    <w:link w:val="898"/>
    <w:pPr>
      <w:ind w:firstLine="709"/>
    </w:pPr>
    <w:rPr>
      <w:sz w:val="24"/>
    </w:rPr>
  </w:style>
  <w:style w:type="paragraph" w:styleId="926">
    <w:name w:val="Нумерованный список"/>
    <w:basedOn w:val="898"/>
    <w:next w:val="926"/>
    <w:link w:val="898"/>
    <w:pPr>
      <w:numPr>
        <w:ilvl w:val="0"/>
        <w:numId w:val="2"/>
      </w:numPr>
      <w:spacing w:before="60" w:line="360" w:lineRule="auto"/>
    </w:pPr>
    <w:rPr>
      <w:sz w:val="28"/>
      <w:szCs w:val="24"/>
    </w:rPr>
  </w:style>
  <w:style w:type="character" w:styleId="927">
    <w:name w:val="apple-style-span"/>
    <w:basedOn w:val="908"/>
    <w:next w:val="927"/>
    <w:link w:val="898"/>
  </w:style>
  <w:style w:type="character" w:styleId="928">
    <w:name w:val="Выделение"/>
    <w:next w:val="928"/>
    <w:link w:val="898"/>
    <w:qFormat/>
    <w:rPr>
      <w:i/>
      <w:iCs/>
    </w:rPr>
  </w:style>
  <w:style w:type="character" w:styleId="929">
    <w:name w:val="apple-converted-space"/>
    <w:basedOn w:val="908"/>
    <w:next w:val="929"/>
    <w:link w:val="898"/>
  </w:style>
  <w:style w:type="character" w:styleId="930">
    <w:name w:val="Font Style16"/>
    <w:next w:val="930"/>
    <w:link w:val="898"/>
    <w:uiPriority w:val="99"/>
    <w:rPr>
      <w:rFonts w:ascii="Times New Roman" w:hAnsi="Times New Roman" w:cs="Times New Roman"/>
      <w:sz w:val="22"/>
      <w:szCs w:val="22"/>
    </w:rPr>
  </w:style>
  <w:style w:type="paragraph" w:styleId="931">
    <w:name w:val="Обычный (веб)"/>
    <w:basedOn w:val="898"/>
    <w:next w:val="931"/>
    <w:link w:val="898"/>
    <w:uiPriority w:val="99"/>
    <w:unhideWhenUsed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paragraph" w:styleId="932">
    <w:name w:val="Основной текст 21"/>
    <w:basedOn w:val="898"/>
    <w:next w:val="932"/>
    <w:link w:val="898"/>
    <w:pPr>
      <w:ind w:firstLine="709"/>
    </w:pPr>
    <w:rPr>
      <w:sz w:val="24"/>
    </w:rPr>
  </w:style>
  <w:style w:type="character" w:styleId="933">
    <w:name w:val="Строгий"/>
    <w:next w:val="933"/>
    <w:link w:val="898"/>
    <w:uiPriority w:val="22"/>
    <w:qFormat/>
    <w:rPr>
      <w:b/>
      <w:bCs/>
    </w:rPr>
  </w:style>
  <w:style w:type="character" w:styleId="934">
    <w:name w:val="Гиперссылка"/>
    <w:next w:val="934"/>
    <w:link w:val="898"/>
    <w:rPr>
      <w:color w:val="0000ff"/>
      <w:u w:val="single"/>
    </w:rPr>
  </w:style>
  <w:style w:type="character" w:styleId="935">
    <w:name w:val="Просмотренная гиперссылка"/>
    <w:next w:val="935"/>
    <w:link w:val="898"/>
    <w:rPr>
      <w:color w:val="800080"/>
      <w:u w:val="single"/>
    </w:rPr>
  </w:style>
  <w:style w:type="paragraph" w:styleId="936">
    <w:name w:val="headertext"/>
    <w:basedOn w:val="898"/>
    <w:next w:val="936"/>
    <w:link w:val="898"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paragraph" w:styleId="937">
    <w:name w:val="formattext"/>
    <w:basedOn w:val="898"/>
    <w:next w:val="937"/>
    <w:link w:val="898"/>
    <w:pPr>
      <w:ind w:firstLine="0"/>
      <w:jc w:val="left"/>
      <w:spacing w:before="100" w:beforeAutospacing="1" w:after="100" w:afterAutospacing="1"/>
    </w:pPr>
    <w:rPr>
      <w:sz w:val="24"/>
      <w:szCs w:val="24"/>
    </w:rPr>
  </w:style>
  <w:style w:type="character" w:styleId="938">
    <w:name w:val="Абзац списка Знак,Нумерованый список Знак,List Paragraph1 Знак"/>
    <w:next w:val="938"/>
    <w:link w:val="924"/>
    <w:uiPriority w:val="34"/>
  </w:style>
  <w:style w:type="character" w:styleId="939">
    <w:name w:val="Основной текст_"/>
    <w:next w:val="939"/>
    <w:link w:val="940"/>
    <w:rPr>
      <w:spacing w:val="4"/>
      <w:shd w:val="clear" w:color="auto" w:fill="ffffff"/>
    </w:rPr>
  </w:style>
  <w:style w:type="paragraph" w:styleId="940">
    <w:name w:val="Основной текст2"/>
    <w:basedOn w:val="898"/>
    <w:next w:val="940"/>
    <w:link w:val="939"/>
    <w:pPr>
      <w:ind w:hanging="400"/>
      <w:jc w:val="left"/>
      <w:spacing w:line="0" w:lineRule="atLeast"/>
      <w:shd w:val="clear" w:color="auto" w:fill="ffffff"/>
    </w:pPr>
    <w:rPr>
      <w:spacing w:val="4"/>
    </w:rPr>
  </w:style>
  <w:style w:type="character" w:styleId="941">
    <w:name w:val="Заголовок 2 Знак"/>
    <w:next w:val="941"/>
    <w:link w:val="900"/>
    <w:rPr>
      <w:b/>
      <w:sz w:val="28"/>
    </w:rPr>
  </w:style>
  <w:style w:type="character" w:styleId="942" w:default="1">
    <w:name w:val="Default Paragraph Font"/>
    <w:uiPriority w:val="1"/>
    <w:semiHidden/>
    <w:unhideWhenUsed/>
  </w:style>
  <w:style w:type="numbering" w:styleId="943" w:default="1">
    <w:name w:val="No List"/>
    <w:uiPriority w:val="99"/>
    <w:semiHidden/>
    <w:unhideWhenUsed/>
  </w:style>
  <w:style w:type="table" w:styleId="9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ОАО "НижЭСП"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revision>9</cp:revision>
  <dcterms:created xsi:type="dcterms:W3CDTF">2025-07-04T11:58:00Z</dcterms:created>
  <dcterms:modified xsi:type="dcterms:W3CDTF">2026-05-20T06:14:33Z</dcterms:modified>
  <cp:version>983040</cp:version>
</cp:coreProperties>
</file>